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38D1" w14:textId="77777777" w:rsidR="000B237D" w:rsidRPr="000B237D" w:rsidRDefault="000B237D" w:rsidP="000B237D">
      <w:pPr>
        <w:shd w:val="clear" w:color="auto" w:fill="FFFFFF"/>
        <w:spacing w:after="0" w:line="240" w:lineRule="auto"/>
        <w:outlineLvl w:val="0"/>
        <w:rPr>
          <w:rFonts w:ascii="Poppins" w:eastAsia="Times New Roman" w:hAnsi="Poppins" w:cs="Poppins"/>
          <w:b/>
          <w:bCs/>
          <w:color w:val="0E1F3E"/>
          <w:kern w:val="36"/>
          <w:sz w:val="28"/>
          <w:szCs w:val="28"/>
          <w:lang w:eastAsia="en-AU"/>
        </w:rPr>
      </w:pPr>
      <w:r w:rsidRPr="000B237D">
        <w:rPr>
          <w:rFonts w:ascii="Poppins" w:eastAsia="Times New Roman" w:hAnsi="Poppins" w:cs="Poppins"/>
          <w:b/>
          <w:bCs/>
          <w:color w:val="0E1F3E"/>
          <w:kern w:val="36"/>
          <w:sz w:val="28"/>
          <w:szCs w:val="28"/>
          <w:lang w:eastAsia="en-AU"/>
        </w:rPr>
        <w:t>Refund Policy</w:t>
      </w:r>
    </w:p>
    <w:p w14:paraId="1EA3675F" w14:textId="5042D4D6" w:rsidR="000B237D" w:rsidRPr="000B237D" w:rsidRDefault="000B237D" w:rsidP="000B237D">
      <w:pPr>
        <w:shd w:val="clear" w:color="auto" w:fill="FFFFFF"/>
        <w:spacing w:after="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proofErr w:type="gramStart"/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In the event that</w:t>
      </w:r>
      <w:proofErr w:type="gramEnd"/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 xml:space="preserve"> you are unable to attend the course, a 50% refund will be given if it is </w:t>
      </w:r>
      <w:r w:rsidRPr="000B237D">
        <w:rPr>
          <w:rFonts w:eastAsia="Times New Roman" w:cstheme="minorHAnsi"/>
          <w:b/>
          <w:bCs/>
          <w:color w:val="0E1F3E"/>
          <w:spacing w:val="14"/>
          <w:sz w:val="24"/>
          <w:szCs w:val="24"/>
          <w:lang w:eastAsia="en-AU"/>
        </w:rPr>
        <w:t xml:space="preserve">less than 24 </w:t>
      </w:r>
      <w:r w:rsidRPr="000B237D">
        <w:rPr>
          <w:rFonts w:eastAsia="Times New Roman" w:cstheme="minorHAnsi"/>
          <w:b/>
          <w:bCs/>
          <w:color w:val="0E1F3E"/>
          <w:spacing w:val="14"/>
          <w:sz w:val="24"/>
          <w:szCs w:val="24"/>
          <w:lang w:eastAsia="en-AU"/>
        </w:rPr>
        <w:t>hours’ notice</w:t>
      </w:r>
      <w:r w:rsidRPr="000B237D">
        <w:rPr>
          <w:rFonts w:eastAsia="Times New Roman" w:cstheme="minorHAnsi"/>
          <w:b/>
          <w:bCs/>
          <w:color w:val="0E1F3E"/>
          <w:spacing w:val="14"/>
          <w:sz w:val="24"/>
          <w:szCs w:val="24"/>
          <w:lang w:eastAsia="en-AU"/>
        </w:rPr>
        <w:t xml:space="preserve"> prior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 to the scheduled training or assessment start time. This is due to challenges being able to offer the spot to others at such short notice. If </w:t>
      </w:r>
      <w:r w:rsidRPr="000B237D">
        <w:rPr>
          <w:rFonts w:eastAsia="Times New Roman" w:cstheme="minorHAnsi"/>
          <w:b/>
          <w:bCs/>
          <w:color w:val="0E1F3E"/>
          <w:spacing w:val="14"/>
          <w:sz w:val="24"/>
          <w:szCs w:val="24"/>
          <w:lang w:eastAsia="en-AU"/>
        </w:rPr>
        <w:t xml:space="preserve">greater than 24 </w:t>
      </w:r>
      <w:r w:rsidRPr="000B237D">
        <w:rPr>
          <w:rFonts w:eastAsia="Times New Roman" w:cstheme="minorHAnsi"/>
          <w:b/>
          <w:bCs/>
          <w:color w:val="0E1F3E"/>
          <w:spacing w:val="14"/>
          <w:sz w:val="24"/>
          <w:szCs w:val="24"/>
          <w:lang w:eastAsia="en-AU"/>
        </w:rPr>
        <w:t>hours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’ notice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 xml:space="preserve"> is given your booking and payment is transferable to another date.</w:t>
      </w:r>
    </w:p>
    <w:p w14:paraId="7DC158E3" w14:textId="3AEB30AB" w:rsidR="000B237D" w:rsidRPr="000B237D" w:rsidRDefault="000B237D" w:rsidP="000B237D">
      <w:pPr>
        <w:shd w:val="clear" w:color="auto" w:fill="FFFFFF"/>
        <w:spacing w:after="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 xml:space="preserve">Should the course be cancelled by 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i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Licence, you have the option of transferring to another course, or a full refund.</w:t>
      </w:r>
    </w:p>
    <w:p w14:paraId="7D7BF133" w14:textId="60C698BB" w:rsidR="000B237D" w:rsidRPr="000B237D" w:rsidRDefault="000B237D" w:rsidP="000B237D">
      <w:pPr>
        <w:shd w:val="clear" w:color="auto" w:fill="FFFFFF"/>
        <w:spacing w:after="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 xml:space="preserve">Obtaining a 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B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oat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 xml:space="preserve"> and Jet Ski L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 xml:space="preserve">icence is not simply an 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attendance-based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 xml:space="preserve"> course. A student </w:t>
      </w:r>
      <w:r w:rsidRPr="000B237D">
        <w:rPr>
          <w:rFonts w:eastAsia="Times New Roman" w:cstheme="minorHAnsi"/>
          <w:b/>
          <w:bCs/>
          <w:color w:val="0E1F3E"/>
          <w:spacing w:val="14"/>
          <w:sz w:val="24"/>
          <w:szCs w:val="24"/>
          <w:lang w:eastAsia="en-AU"/>
        </w:rPr>
        <w:t>must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 demonstrate the required skill’s/knowledge to be issued a statement of competency. Failing any part of the course does not entitle a student to a refund.</w:t>
      </w:r>
    </w:p>
    <w:p w14:paraId="2FE45B1E" w14:textId="02C6166B" w:rsidR="00F263B3" w:rsidRPr="000B237D" w:rsidRDefault="00F263B3">
      <w:pPr>
        <w:rPr>
          <w:rFonts w:cstheme="minorHAnsi"/>
          <w:sz w:val="24"/>
          <w:szCs w:val="24"/>
        </w:rPr>
      </w:pPr>
    </w:p>
    <w:p w14:paraId="3D1E97F3" w14:textId="77777777" w:rsidR="000B237D" w:rsidRPr="000B237D" w:rsidRDefault="000B237D" w:rsidP="000B237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E1F3E"/>
          <w:kern w:val="36"/>
          <w:sz w:val="28"/>
          <w:szCs w:val="28"/>
          <w:lang w:eastAsia="en-AU"/>
        </w:rPr>
      </w:pPr>
      <w:r w:rsidRPr="000B237D">
        <w:rPr>
          <w:rFonts w:eastAsia="Times New Roman" w:cstheme="minorHAnsi"/>
          <w:b/>
          <w:bCs/>
          <w:color w:val="0E1F3E"/>
          <w:kern w:val="36"/>
          <w:sz w:val="28"/>
          <w:szCs w:val="28"/>
          <w:lang w:eastAsia="en-AU"/>
        </w:rPr>
        <w:t>Privacy Policy</w:t>
      </w:r>
    </w:p>
    <w:p w14:paraId="59B81C6B" w14:textId="68816AA7" w:rsidR="000B237D" w:rsidRPr="000B237D" w:rsidRDefault="000B237D" w:rsidP="000B237D">
      <w:pPr>
        <w:shd w:val="clear" w:color="auto" w:fill="FFFFFF"/>
        <w:spacing w:after="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i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 xml:space="preserve">Licence takes your privacy seriously and 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adheres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 xml:space="preserve"> to the Australian Privacy Principles:</w:t>
      </w:r>
    </w:p>
    <w:p w14:paraId="0727183B" w14:textId="77777777" w:rsidR="000B237D" w:rsidRPr="000B237D" w:rsidRDefault="000B237D" w:rsidP="000B237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Open and transparent management of personal information</w:t>
      </w:r>
    </w:p>
    <w:p w14:paraId="01D93D5E" w14:textId="77777777" w:rsidR="000B237D" w:rsidRPr="000B237D" w:rsidRDefault="000B237D" w:rsidP="000B237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Anonymity and pseudonymity</w:t>
      </w:r>
    </w:p>
    <w:p w14:paraId="0613FFE4" w14:textId="77777777" w:rsidR="000B237D" w:rsidRPr="000B237D" w:rsidRDefault="000B237D" w:rsidP="000B237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Collection of solicited personal information</w:t>
      </w:r>
    </w:p>
    <w:p w14:paraId="484C7EE9" w14:textId="77777777" w:rsidR="000B237D" w:rsidRPr="000B237D" w:rsidRDefault="000B237D" w:rsidP="000B237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Dealing with unsolicited personal information</w:t>
      </w:r>
    </w:p>
    <w:p w14:paraId="39AD7A24" w14:textId="77777777" w:rsidR="000B237D" w:rsidRPr="000B237D" w:rsidRDefault="000B237D" w:rsidP="000B237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Notification of the collection of personal information</w:t>
      </w:r>
    </w:p>
    <w:p w14:paraId="4F3388E6" w14:textId="77777777" w:rsidR="000B237D" w:rsidRPr="000B237D" w:rsidRDefault="000B237D" w:rsidP="000B237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Use or disclosure of personal information</w:t>
      </w:r>
    </w:p>
    <w:p w14:paraId="0717C6E2" w14:textId="77777777" w:rsidR="000B237D" w:rsidRPr="000B237D" w:rsidRDefault="000B237D" w:rsidP="000B237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Direct marketing</w:t>
      </w:r>
    </w:p>
    <w:p w14:paraId="36359216" w14:textId="77777777" w:rsidR="000B237D" w:rsidRPr="000B237D" w:rsidRDefault="000B237D" w:rsidP="000B237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Cross-border disclosure of personal information</w:t>
      </w:r>
    </w:p>
    <w:p w14:paraId="4032227F" w14:textId="77777777" w:rsidR="000B237D" w:rsidRPr="000B237D" w:rsidRDefault="000B237D" w:rsidP="000B237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Adoption, use or disclosure of government related identifiers</w:t>
      </w:r>
    </w:p>
    <w:p w14:paraId="5E622712" w14:textId="77777777" w:rsidR="000B237D" w:rsidRPr="000B237D" w:rsidRDefault="000B237D" w:rsidP="000B237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Quality of personal information</w:t>
      </w:r>
    </w:p>
    <w:p w14:paraId="7681BB92" w14:textId="77777777" w:rsidR="000B237D" w:rsidRPr="000B237D" w:rsidRDefault="000B237D" w:rsidP="000B237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Security of personal information</w:t>
      </w:r>
    </w:p>
    <w:p w14:paraId="6A05CEAA" w14:textId="77777777" w:rsidR="000B237D" w:rsidRPr="000B237D" w:rsidRDefault="000B237D" w:rsidP="000B237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Access to personal information</w:t>
      </w:r>
    </w:p>
    <w:p w14:paraId="7BD64F0F" w14:textId="77777777" w:rsidR="000B237D" w:rsidRPr="000B237D" w:rsidRDefault="000B237D" w:rsidP="000B237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Correction of personal information</w:t>
      </w:r>
    </w:p>
    <w:p w14:paraId="67A3E397" w14:textId="77777777" w:rsidR="000B237D" w:rsidRPr="000B237D" w:rsidRDefault="000B237D" w:rsidP="000B237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E1F3E"/>
          <w:spacing w:val="14"/>
          <w:sz w:val="28"/>
          <w:szCs w:val="28"/>
          <w:lang w:eastAsia="en-AU"/>
        </w:rPr>
      </w:pPr>
      <w:r w:rsidRPr="000B237D">
        <w:rPr>
          <w:rFonts w:eastAsia="Times New Roman" w:cstheme="minorHAnsi"/>
          <w:b/>
          <w:bCs/>
          <w:color w:val="0E1F3E"/>
          <w:spacing w:val="14"/>
          <w:sz w:val="28"/>
          <w:szCs w:val="28"/>
          <w:lang w:eastAsia="en-AU"/>
        </w:rPr>
        <w:t>Course Results</w:t>
      </w:r>
    </w:p>
    <w:p w14:paraId="155EFC7D" w14:textId="24B1DEC9" w:rsidR="000B237D" w:rsidRDefault="000B237D" w:rsidP="000B237D">
      <w:pPr>
        <w:shd w:val="clear" w:color="auto" w:fill="FFFFFF"/>
        <w:spacing w:after="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Students’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 xml:space="preserve"> results are subject to retention, archiving and retrieval for a period of 30 years and transfer consistent with the requirements of 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Maritime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 xml:space="preserve"> Safety Qld (MSQ). 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i</w:t>
      </w:r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 xml:space="preserve">Licence also keeps records of courses undertaken (including dates, topics, </w:t>
      </w:r>
      <w:proofErr w:type="gramStart"/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>activities</w:t>
      </w:r>
      <w:proofErr w:type="gramEnd"/>
      <w:r w:rsidRPr="000B237D"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  <w:t xml:space="preserve"> and assessments) and Statements of Attainments issued, as per MSQ requirements.</w:t>
      </w:r>
    </w:p>
    <w:p w14:paraId="56BC91F8" w14:textId="1B38C5D7" w:rsidR="000B237D" w:rsidRDefault="000B237D" w:rsidP="000B237D">
      <w:pPr>
        <w:shd w:val="clear" w:color="auto" w:fill="FFFFFF"/>
        <w:spacing w:after="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</w:p>
    <w:p w14:paraId="6C0A8E69" w14:textId="6C065305" w:rsidR="000B237D" w:rsidRDefault="000B237D" w:rsidP="000B237D">
      <w:pPr>
        <w:shd w:val="clear" w:color="auto" w:fill="FFFFFF"/>
        <w:spacing w:after="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</w:p>
    <w:p w14:paraId="49ABD0D7" w14:textId="77777777" w:rsidR="000B237D" w:rsidRPr="000B237D" w:rsidRDefault="000B237D" w:rsidP="000B237D">
      <w:pPr>
        <w:shd w:val="clear" w:color="auto" w:fill="FFFFFF"/>
        <w:spacing w:after="0" w:line="240" w:lineRule="auto"/>
        <w:rPr>
          <w:rFonts w:eastAsia="Times New Roman" w:cstheme="minorHAnsi"/>
          <w:color w:val="0E1F3E"/>
          <w:spacing w:val="14"/>
          <w:sz w:val="24"/>
          <w:szCs w:val="24"/>
          <w:lang w:eastAsia="en-AU"/>
        </w:rPr>
      </w:pPr>
    </w:p>
    <w:p w14:paraId="7808F8B6" w14:textId="77777777" w:rsidR="000B237D" w:rsidRPr="000B237D" w:rsidRDefault="000B237D" w:rsidP="000B237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E1F3E"/>
          <w:spacing w:val="14"/>
          <w:sz w:val="28"/>
          <w:szCs w:val="28"/>
          <w:lang w:eastAsia="en-AU"/>
        </w:rPr>
      </w:pPr>
      <w:r w:rsidRPr="000B237D">
        <w:rPr>
          <w:rFonts w:eastAsia="Times New Roman" w:cstheme="minorHAnsi"/>
          <w:b/>
          <w:bCs/>
          <w:color w:val="0E1F3E"/>
          <w:spacing w:val="14"/>
          <w:sz w:val="28"/>
          <w:szCs w:val="28"/>
          <w:lang w:eastAsia="en-AU"/>
        </w:rPr>
        <w:lastRenderedPageBreak/>
        <w:t>Personal Information</w:t>
      </w:r>
    </w:p>
    <w:p w14:paraId="0B3A4BE4" w14:textId="0D920CFB" w:rsidR="000B237D" w:rsidRPr="000B237D" w:rsidRDefault="000B237D" w:rsidP="000B237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E1F3E"/>
          <w:spacing w:val="14"/>
          <w:sz w:val="27"/>
          <w:szCs w:val="27"/>
          <w:lang w:eastAsia="en-AU"/>
        </w:rPr>
      </w:pPr>
      <w:r>
        <w:rPr>
          <w:rFonts w:ascii="Open Sans" w:eastAsia="Times New Roman" w:hAnsi="Open Sans" w:cs="Open Sans"/>
          <w:color w:val="0E1F3E"/>
          <w:spacing w:val="14"/>
          <w:sz w:val="27"/>
          <w:szCs w:val="27"/>
          <w:lang w:eastAsia="en-AU"/>
        </w:rPr>
        <w:t>i</w:t>
      </w:r>
      <w:r w:rsidRPr="000B237D">
        <w:rPr>
          <w:rFonts w:ascii="Open Sans" w:eastAsia="Times New Roman" w:hAnsi="Open Sans" w:cs="Open Sans"/>
          <w:color w:val="0E1F3E"/>
          <w:spacing w:val="14"/>
          <w:sz w:val="27"/>
          <w:szCs w:val="27"/>
          <w:lang w:eastAsia="en-AU"/>
        </w:rPr>
        <w:t xml:space="preserve">Licence is committed to protecting and maintaining the privacy, confidentiality, </w:t>
      </w:r>
      <w:r w:rsidRPr="000B237D">
        <w:rPr>
          <w:rFonts w:ascii="Open Sans" w:eastAsia="Times New Roman" w:hAnsi="Open Sans" w:cs="Open Sans"/>
          <w:color w:val="0E1F3E"/>
          <w:spacing w:val="14"/>
          <w:sz w:val="27"/>
          <w:szCs w:val="27"/>
          <w:lang w:eastAsia="en-AU"/>
        </w:rPr>
        <w:t>accuracy,</w:t>
      </w:r>
      <w:r w:rsidRPr="000B237D">
        <w:rPr>
          <w:rFonts w:ascii="Open Sans" w:eastAsia="Times New Roman" w:hAnsi="Open Sans" w:cs="Open Sans"/>
          <w:color w:val="0E1F3E"/>
          <w:spacing w:val="14"/>
          <w:sz w:val="27"/>
          <w:szCs w:val="27"/>
          <w:lang w:eastAsia="en-AU"/>
        </w:rPr>
        <w:t xml:space="preserve"> and security of your personal information.</w:t>
      </w:r>
    </w:p>
    <w:p w14:paraId="0456B6E7" w14:textId="77777777" w:rsidR="000B237D" w:rsidRDefault="000B237D"/>
    <w:sectPr w:rsidR="000B2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7FE8"/>
    <w:multiLevelType w:val="multilevel"/>
    <w:tmpl w:val="8BCA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A5F7D"/>
    <w:multiLevelType w:val="multilevel"/>
    <w:tmpl w:val="06FE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0282434">
    <w:abstractNumId w:val="1"/>
  </w:num>
  <w:num w:numId="2" w16cid:durableId="20502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7D"/>
    <w:rsid w:val="000B237D"/>
    <w:rsid w:val="00F2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3739"/>
  <w15:chartTrackingRefBased/>
  <w15:docId w15:val="{664A35B5-0520-49BA-9C4B-E7B4F33A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Love</dc:creator>
  <cp:keywords/>
  <dc:description/>
  <cp:lastModifiedBy>Damien Love</cp:lastModifiedBy>
  <cp:revision>1</cp:revision>
  <dcterms:created xsi:type="dcterms:W3CDTF">2022-10-06T00:00:00Z</dcterms:created>
  <dcterms:modified xsi:type="dcterms:W3CDTF">2022-10-06T00:08:00Z</dcterms:modified>
</cp:coreProperties>
</file>